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?????" w:hAnsi="?????" w:cs="?????"/>
          <w:b/>
          <w:bCs/>
          <w:color w:val="FF0000"/>
          <w:sz w:val="76"/>
          <w:szCs w:val="76"/>
        </w:rPr>
      </w:pPr>
      <w:r>
        <w:rPr>
          <w:rFonts w:hint="eastAsia" w:ascii="宋体" w:hAnsi="宋体" w:cs="宋体"/>
          <w:b/>
          <w:bCs/>
          <w:color w:val="FF0000"/>
          <w:w w:val="90"/>
          <w:sz w:val="84"/>
          <w:szCs w:val="84"/>
        </w:rPr>
        <w:t>中国总会计师协会文件</w:t>
      </w:r>
    </w:p>
    <w:p>
      <w:pPr>
        <w:spacing w:beforeLines="30" w:line="400" w:lineRule="exact"/>
        <w:jc w:val="center"/>
        <w:rPr>
          <w:rFonts w:ascii="??_GB2312" w:eastAsia="Times New Roman"/>
          <w:sz w:val="28"/>
          <w:szCs w:val="28"/>
        </w:rPr>
      </w:pPr>
    </w:p>
    <w:p>
      <w:pPr>
        <w:spacing w:line="460" w:lineRule="exact"/>
        <w:ind w:firstLine="31680" w:firstLineChars="200"/>
        <w:jc w:val="center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中总秘〔</w:t>
      </w:r>
      <w:r>
        <w:rPr>
          <w:rFonts w:ascii="仿宋" w:hAnsi="仿宋" w:eastAsia="仿宋" w:cs="仿宋"/>
          <w:sz w:val="30"/>
          <w:szCs w:val="30"/>
          <w:lang w:val="zh-CN"/>
        </w:rPr>
        <w:t>2017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〕</w:t>
      </w:r>
      <w:r>
        <w:rPr>
          <w:rFonts w:ascii="仿宋" w:hAnsi="仿宋" w:eastAsia="仿宋" w:cs="仿宋"/>
          <w:sz w:val="30"/>
          <w:szCs w:val="30"/>
        </w:rPr>
        <w:t>52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号</w:t>
      </w:r>
    </w:p>
    <w:p>
      <w:pPr>
        <w:spacing w:line="500" w:lineRule="exact"/>
        <w:ind w:right="31680" w:rightChars="-7"/>
        <w:jc w:val="center"/>
        <w:rPr>
          <w:rFonts w:ascii="黑体" w:hAnsi="黑体" w:eastAsia="黑体" w:cs="黑体"/>
          <w:bCs/>
          <w:kern w:val="10"/>
          <w:sz w:val="44"/>
          <w:szCs w:val="44"/>
        </w:rPr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line id="直线 14" o:spid="_x0000_s1026" style="position:absolute;left:0;margin-left:-4.45pt;margin-top:10.2pt;height:0.05pt;width:431.95pt;rotation:0f;z-index:251658240;" o:ole="f" fillcolor="#FFFFFF" filled="f" o:preferrelative="t" stroked="t" coordsize="21600,21600">
            <v:fill on="f" color2="#FFFFFF" focus="0%"/>
            <v:stroke weight="1.5pt"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spacing w:line="500" w:lineRule="exact"/>
        <w:ind w:left="31680" w:right="31680" w:rightChars="-7" w:hangingChars="49" w:firstLine="31680"/>
        <w:jc w:val="center"/>
        <w:rPr>
          <w:rFonts w:ascii="宋体" w:cs="黑体"/>
          <w:b/>
          <w:bCs/>
          <w:kern w:val="10"/>
          <w:sz w:val="36"/>
          <w:szCs w:val="36"/>
        </w:rPr>
      </w:pPr>
      <w:r>
        <w:rPr>
          <w:rFonts w:hint="eastAsia" w:ascii="宋体" w:cs="黑体"/>
          <w:b/>
          <w:bCs/>
          <w:kern w:val="10"/>
          <w:sz w:val="36"/>
          <w:szCs w:val="36"/>
        </w:rPr>
        <w:t>关于举办“集团财务管控、税务风险管理与税务管理信息化建设”培训班的通知</w:t>
      </w:r>
    </w:p>
    <w:p>
      <w:pPr>
        <w:spacing w:line="380" w:lineRule="exact"/>
        <w:ind w:right="31680" w:rightChars="-7"/>
        <w:jc w:val="center"/>
        <w:rPr>
          <w:rFonts w:ascii="宋体" w:cs="黑体"/>
          <w:b/>
          <w:bCs/>
          <w:kern w:val="10"/>
          <w:sz w:val="36"/>
          <w:szCs w:val="36"/>
        </w:rPr>
      </w:pPr>
    </w:p>
    <w:p>
      <w:pPr>
        <w:spacing w:line="42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各地方总会计师协会（研究会），各分会；各会员单位，各企事业及有关单位：</w:t>
      </w:r>
    </w:p>
    <w:p>
      <w:pPr>
        <w:spacing w:line="420" w:lineRule="exact"/>
        <w:ind w:firstLine="31680" w:firstLineChars="200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随着经济转型升级和供给侧结构性改革的不断推进，对集团财务提出了越来越大的挑战。加强集团财务管控，大力发展管理会计体系，强化业财融合来重构有效的、引领价值创造的集团财务管控体系，成为当前大型集团财务工作转型深化的关键。同时，会计准则的变动</w:t>
      </w:r>
      <w:r>
        <w:rPr>
          <w:rFonts w:hint="eastAsia" w:ascii="仿宋" w:hAnsi="仿宋" w:eastAsia="仿宋" w:cs="仿宋"/>
          <w:sz w:val="30"/>
          <w:szCs w:val="30"/>
        </w:rPr>
        <w:t>和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营改增的不断深化，给集团税务管理带来更加复杂的挑战。集团税务风险如何管控，如何使用信息化手段加强集团税务管理，也是集团财务负责人亟待解决的问题。</w:t>
      </w:r>
    </w:p>
    <w:p>
      <w:pPr>
        <w:spacing w:line="420" w:lineRule="exact"/>
        <w:ind w:firstLine="3168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为帮助集团提升转型时代的财务管控能力和税务管理水平，中国总会计师协会特举办“转型时代的集团财务管控、税务风险管理与税务管理信息化建设”专题培训班。</w:t>
      </w:r>
    </w:p>
    <w:p>
      <w:pPr>
        <w:spacing w:line="420" w:lineRule="exact"/>
        <w:ind w:firstLine="3168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现将培训方案予以印发，请各单位积极做好相关人员的组织和报名工作。</w:t>
      </w:r>
    </w:p>
    <w:p>
      <w:pPr>
        <w:spacing w:line="400" w:lineRule="exact"/>
        <w:ind w:firstLine="3168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  <w:r>
        <w:rPr>
          <w:rFonts w:ascii="仿宋" w:hAnsi="仿宋" w:eastAsia="仿宋" w:cs="仿宋"/>
          <w:sz w:val="30"/>
          <w:szCs w:val="30"/>
        </w:rPr>
        <w:t xml:space="preserve">  1.</w:t>
      </w:r>
      <w:r>
        <w:rPr>
          <w:rFonts w:hint="eastAsia" w:ascii="仿宋" w:hAnsi="仿宋" w:eastAsia="仿宋" w:cs="仿宋"/>
          <w:sz w:val="30"/>
          <w:szCs w:val="30"/>
        </w:rPr>
        <w:t>培训班工作方案</w:t>
      </w:r>
    </w:p>
    <w:p>
      <w:pPr>
        <w:numPr>
          <w:ilvl w:val="0"/>
          <w:numId w:val="1"/>
        </w:numPr>
        <w:spacing w:line="400" w:lineRule="exact"/>
        <w:ind w:firstLine="3168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培训班报名回执表</w:t>
      </w:r>
    </w:p>
    <w:p>
      <w:pPr>
        <w:spacing w:line="4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4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420" w:lineRule="exac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42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>中国总会计师协会秘书处</w:t>
      </w:r>
    </w:p>
    <w:p>
      <w:pPr>
        <w:snapToGrid w:val="0"/>
        <w:spacing w:line="42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</w:rPr>
        <w:t>二</w:t>
      </w:r>
      <w:r>
        <w:rPr>
          <w:rFonts w:ascii="仿宋" w:hAnsi="仿宋" w:eastAsia="仿宋" w:cs="仿宋"/>
          <w:sz w:val="32"/>
          <w:szCs w:val="32"/>
        </w:rPr>
        <w:t>O</w:t>
      </w:r>
      <w:r>
        <w:rPr>
          <w:rFonts w:hint="eastAsia" w:ascii="仿宋" w:hAnsi="仿宋" w:eastAsia="仿宋" w:cs="仿宋"/>
          <w:sz w:val="32"/>
          <w:szCs w:val="32"/>
        </w:rPr>
        <w:t>一七年九月十四日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460" w:lineRule="exact"/>
        <w:ind w:left="1" w:right="31680" w:rightChars="-7"/>
        <w:jc w:val="center"/>
        <w:rPr>
          <w:rFonts w:ascii="仿宋" w:hAnsi="仿宋" w:eastAsia="仿宋" w:cs="黑体"/>
          <w:bCs/>
          <w:kern w:val="10"/>
          <w:sz w:val="32"/>
          <w:szCs w:val="32"/>
        </w:rPr>
      </w:pPr>
      <w:r>
        <w:rPr>
          <w:rFonts w:hint="eastAsia" w:ascii="仿宋" w:hAnsi="仿宋" w:eastAsia="仿宋" w:cs="黑体"/>
          <w:bCs/>
          <w:kern w:val="10"/>
          <w:sz w:val="32"/>
          <w:szCs w:val="32"/>
        </w:rPr>
        <w:t>专题培训班工作方案</w:t>
      </w:r>
    </w:p>
    <w:p>
      <w:pPr>
        <w:spacing w:beforeLines="150" w:line="4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主办单位：中国总会计师协会</w:t>
      </w:r>
    </w:p>
    <w:p>
      <w:pPr>
        <w:spacing w:afterLines="50" w:line="4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承办单位：《中国总会计师》杂志社</w:t>
      </w:r>
    </w:p>
    <w:p>
      <w:pPr>
        <w:widowControl/>
        <w:spacing w:line="440" w:lineRule="exact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一、时间地点</w:t>
      </w:r>
    </w:p>
    <w:p>
      <w:pPr>
        <w:spacing w:line="460" w:lineRule="exact"/>
        <w:ind w:firstLine="31680" w:firstLineChars="200"/>
        <w:rPr>
          <w:rFonts w:ascii="仿宋" w:hAnsi="仿宋" w:eastAsia="仿宋" w:cs="黑体"/>
          <w:bCs/>
          <w:kern w:val="10"/>
          <w:sz w:val="30"/>
          <w:szCs w:val="30"/>
        </w:rPr>
      </w:pPr>
      <w:r>
        <w:rPr>
          <w:rFonts w:hint="eastAsia" w:ascii="仿宋" w:hAnsi="仿宋" w:eastAsia="仿宋" w:cs="黑体"/>
          <w:bCs/>
          <w:kern w:val="10"/>
          <w:sz w:val="30"/>
          <w:szCs w:val="30"/>
        </w:rPr>
        <w:t>时间：</w:t>
      </w:r>
      <w:r>
        <w:rPr>
          <w:rFonts w:ascii="仿宋" w:hAnsi="仿宋" w:eastAsia="仿宋" w:cs="黑体"/>
          <w:bCs/>
          <w:kern w:val="10"/>
          <w:sz w:val="30"/>
          <w:szCs w:val="30"/>
        </w:rPr>
        <w:t>2017</w:t>
      </w:r>
      <w:r>
        <w:rPr>
          <w:rFonts w:hint="eastAsia" w:ascii="仿宋" w:hAnsi="仿宋" w:eastAsia="仿宋" w:cs="黑体"/>
          <w:bCs/>
          <w:kern w:val="10"/>
          <w:sz w:val="30"/>
          <w:szCs w:val="30"/>
        </w:rPr>
        <w:t>年</w:t>
      </w:r>
      <w:r>
        <w:rPr>
          <w:rFonts w:ascii="仿宋" w:hAnsi="仿宋" w:eastAsia="仿宋" w:cs="黑体"/>
          <w:bCs/>
          <w:kern w:val="10"/>
          <w:sz w:val="30"/>
          <w:szCs w:val="30"/>
        </w:rPr>
        <w:t>11</w:t>
      </w:r>
      <w:r>
        <w:rPr>
          <w:rFonts w:hint="eastAsia" w:ascii="仿宋" w:hAnsi="仿宋" w:eastAsia="仿宋" w:cs="黑体"/>
          <w:bCs/>
          <w:kern w:val="10"/>
          <w:sz w:val="30"/>
          <w:szCs w:val="30"/>
        </w:rPr>
        <w:t>月</w:t>
      </w:r>
      <w:r>
        <w:rPr>
          <w:rFonts w:ascii="仿宋" w:hAnsi="仿宋" w:eastAsia="仿宋" w:cs="黑体"/>
          <w:bCs/>
          <w:kern w:val="10"/>
          <w:sz w:val="30"/>
          <w:szCs w:val="30"/>
        </w:rPr>
        <w:t>17</w:t>
      </w:r>
      <w:r>
        <w:rPr>
          <w:rFonts w:hint="eastAsia" w:ascii="仿宋" w:hAnsi="仿宋" w:eastAsia="仿宋" w:cs="黑体"/>
          <w:bCs/>
          <w:kern w:val="10"/>
          <w:sz w:val="30"/>
          <w:szCs w:val="30"/>
        </w:rPr>
        <w:t>日</w:t>
      </w:r>
      <w:r>
        <w:rPr>
          <w:rFonts w:ascii="仿宋" w:hAnsi="仿宋" w:eastAsia="仿宋" w:cs="黑体"/>
          <w:bCs/>
          <w:kern w:val="10"/>
          <w:sz w:val="30"/>
          <w:szCs w:val="30"/>
        </w:rPr>
        <w:t>—21</w:t>
      </w:r>
      <w:r>
        <w:rPr>
          <w:rFonts w:hint="eastAsia" w:ascii="仿宋" w:hAnsi="仿宋" w:eastAsia="仿宋" w:cs="黑体"/>
          <w:bCs/>
          <w:kern w:val="10"/>
          <w:sz w:val="30"/>
          <w:szCs w:val="30"/>
        </w:rPr>
        <w:t>日</w:t>
      </w:r>
    </w:p>
    <w:p>
      <w:pPr>
        <w:spacing w:line="460" w:lineRule="exact"/>
        <w:rPr>
          <w:rFonts w:ascii="仿宋" w:hAnsi="仿宋" w:eastAsia="仿宋" w:cs="黑体"/>
          <w:bCs/>
          <w:kern w:val="10"/>
          <w:sz w:val="30"/>
          <w:szCs w:val="30"/>
        </w:rPr>
      </w:pPr>
      <w:r>
        <w:rPr>
          <w:rFonts w:ascii="仿宋" w:hAnsi="仿宋" w:eastAsia="仿宋" w:cs="黑体"/>
          <w:bCs/>
          <w:kern w:val="10"/>
          <w:sz w:val="30"/>
          <w:szCs w:val="30"/>
        </w:rPr>
        <w:t xml:space="preserve">    </w:t>
      </w:r>
      <w:r>
        <w:rPr>
          <w:rFonts w:hint="eastAsia" w:ascii="仿宋" w:hAnsi="仿宋" w:eastAsia="仿宋" w:cs="黑体"/>
          <w:bCs/>
          <w:kern w:val="10"/>
          <w:sz w:val="30"/>
          <w:szCs w:val="30"/>
        </w:rPr>
        <w:t>地点：珠海</w:t>
      </w:r>
    </w:p>
    <w:p>
      <w:pPr>
        <w:spacing w:line="4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（培训具体地址开班前一周见报到通知）</w:t>
      </w:r>
    </w:p>
    <w:p>
      <w:pPr>
        <w:spacing w:line="460" w:lineRule="exact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440" w:lineRule="exact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二、参会对象</w:t>
      </w:r>
    </w:p>
    <w:p>
      <w:pPr>
        <w:spacing w:line="460" w:lineRule="exact"/>
        <w:ind w:firstLine="31680" w:firstLineChars="198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企事业单位的负责人、总会计师、财务总监、首席财务官、司库、财务经理、财务主管、会计人员等；税务总监、税务经理等中高级管理人员、税务部门（税务岗位）的专业人员；信息化负责人、人力资源部门负责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；投资分析与研究人员等；金融行业金融分析师、风险控制师；大中专院校会计专业教师；财务、税务、法律等中介机构相关人员；管理会计信息化相关应用软件提供机构人员；需要加强会计知识学习和提升的各单位的主要负责人等。</w:t>
      </w:r>
    </w:p>
    <w:p>
      <w:pPr>
        <w:spacing w:line="460" w:lineRule="exact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440" w:lineRule="exact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三、培训内容</w:t>
      </w:r>
    </w:p>
    <w:p>
      <w:pPr>
        <w:spacing w:line="460" w:lineRule="exact"/>
        <w:ind w:firstLine="31680" w:firstLineChars="198"/>
        <w:jc w:val="left"/>
        <w:rPr>
          <w:rFonts w:ascii="仿宋" w:hAnsi="仿宋" w:eastAsia="仿宋" w:cs="黑体"/>
          <w:b/>
          <w:kern w:val="1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专题一、转型时代的</w:t>
      </w:r>
      <w:r>
        <w:rPr>
          <w:rFonts w:hint="eastAsia" w:ascii="仿宋" w:hAnsi="仿宋" w:eastAsia="仿宋" w:cs="黑体"/>
          <w:b/>
          <w:kern w:val="10"/>
          <w:sz w:val="32"/>
          <w:szCs w:val="32"/>
        </w:rPr>
        <w:t>集团财务管控与优化</w:t>
      </w:r>
    </w:p>
    <w:p>
      <w:pPr>
        <w:spacing w:line="460" w:lineRule="exact"/>
        <w:ind w:firstLine="31680" w:firstLineChars="198"/>
        <w:jc w:val="left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集团财务管控思路与转型方向</w:t>
      </w:r>
    </w:p>
    <w:p>
      <w:pPr>
        <w:spacing w:line="460" w:lineRule="exact"/>
        <w:ind w:firstLine="3168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（二）集团管控：财务、战略、业务</w:t>
      </w:r>
    </w:p>
    <w:p>
      <w:pPr>
        <w:spacing w:line="460" w:lineRule="exact"/>
        <w:ind w:firstLine="3168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（三）集团核算、制度、检查、内审</w:t>
      </w:r>
    </w:p>
    <w:p>
      <w:pPr>
        <w:spacing w:line="460" w:lineRule="exact"/>
        <w:ind w:firstLine="3168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（四）集团预算、考核与报告系统</w:t>
      </w:r>
    </w:p>
    <w:p>
      <w:pPr>
        <w:spacing w:line="460" w:lineRule="exact"/>
        <w:ind w:firstLine="3168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（五）集团财务信息系统</w:t>
      </w:r>
    </w:p>
    <w:p>
      <w:pPr>
        <w:spacing w:line="460" w:lineRule="exact"/>
        <w:ind w:firstLine="3168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（六）集团资金、资产、投融资、成本、费用等管控</w:t>
      </w:r>
    </w:p>
    <w:p>
      <w:pPr>
        <w:spacing w:line="460" w:lineRule="exact"/>
        <w:ind w:firstLine="3168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（七）集团公司内部交易设计</w:t>
      </w:r>
    </w:p>
    <w:p>
      <w:pPr>
        <w:spacing w:line="460" w:lineRule="exact"/>
        <w:ind w:firstLine="3168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（八）集团财务管控体系的实施策略</w:t>
      </w:r>
    </w:p>
    <w:p>
      <w:pPr>
        <w:spacing w:line="460" w:lineRule="exact"/>
        <w:ind w:firstLine="31680" w:firstLineChars="198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（九）转型时代下的财务组织职能与角色转换</w:t>
      </w:r>
    </w:p>
    <w:p>
      <w:pPr>
        <w:pStyle w:val="10"/>
        <w:spacing w:before="0" w:beforeAutospacing="0" w:after="0" w:afterAutospacing="0" w:line="480" w:lineRule="exact"/>
        <w:ind w:firstLine="31680" w:firstLineChars="200"/>
        <w:rPr>
          <w:rFonts w:ascii="仿宋" w:hAnsi="仿宋" w:eastAsia="仿宋" w:cs="仿宋"/>
          <w:bCs/>
          <w:kern w:val="2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（十）业财融合，</w:t>
      </w:r>
      <w:r>
        <w:rPr>
          <w:rFonts w:hint="eastAsia" w:ascii="仿宋" w:hAnsi="仿宋" w:eastAsia="仿宋" w:cs="仿宋"/>
          <w:bCs/>
          <w:kern w:val="2"/>
          <w:sz w:val="30"/>
          <w:szCs w:val="30"/>
        </w:rPr>
        <w:t>从“管控型”走向“价值引领型”</w:t>
      </w:r>
    </w:p>
    <w:p>
      <w:pPr>
        <w:spacing w:line="460" w:lineRule="exact"/>
        <w:jc w:val="lef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460" w:lineRule="exact"/>
        <w:jc w:val="left"/>
        <w:rPr>
          <w:rFonts w:ascii="仿宋" w:hAnsi="仿宋" w:eastAsia="仿宋" w:cs="黑体"/>
          <w:bCs/>
          <w:kern w:val="1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专题二、</w:t>
      </w:r>
      <w:r>
        <w:rPr>
          <w:rFonts w:hint="eastAsia" w:ascii="仿宋" w:hAnsi="仿宋" w:eastAsia="仿宋" w:cs="黑体"/>
          <w:b/>
          <w:bCs/>
          <w:kern w:val="10"/>
          <w:sz w:val="32"/>
          <w:szCs w:val="32"/>
        </w:rPr>
        <w:t>集团税务风险管理与税务管理信息化建设</w:t>
      </w:r>
    </w:p>
    <w:p>
      <w:pPr>
        <w:spacing w:line="460" w:lineRule="exact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ascii="仿宋" w:hAnsi="仿宋" w:eastAsia="仿宋" w:cs="黑体"/>
          <w:bCs/>
          <w:kern w:val="1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Cs/>
          <w:sz w:val="30"/>
          <w:szCs w:val="30"/>
        </w:rPr>
        <w:t>（一）集团税务管理当前热点问题</w:t>
      </w:r>
    </w:p>
    <w:p>
      <w:pPr>
        <w:spacing w:line="460" w:lineRule="exact"/>
        <w:ind w:firstLine="3168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（二）如何建立集团税务管控体系</w:t>
      </w:r>
    </w:p>
    <w:p>
      <w:pPr>
        <w:spacing w:line="460" w:lineRule="exact"/>
        <w:ind w:firstLine="3168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（三）税法刚性在信息化社会如何体现</w:t>
      </w:r>
    </w:p>
    <w:p>
      <w:pPr>
        <w:spacing w:line="460" w:lineRule="exact"/>
        <w:ind w:firstLine="3168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（四）集团财务与税务风险管控</w:t>
      </w:r>
    </w:p>
    <w:p>
      <w:pPr>
        <w:spacing w:line="460" w:lineRule="exact"/>
        <w:ind w:firstLine="3168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（五）后营改增时代的集团涉税风险</w:t>
      </w:r>
    </w:p>
    <w:p>
      <w:pPr>
        <w:spacing w:line="460" w:lineRule="exact"/>
        <w:ind w:firstLine="3168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（六）税务管理信息化</w:t>
      </w:r>
      <w:r>
        <w:rPr>
          <w:rFonts w:ascii="仿宋" w:hAnsi="仿宋" w:eastAsia="仿宋" w:cs="仿宋"/>
          <w:bCs/>
          <w:sz w:val="30"/>
          <w:szCs w:val="30"/>
        </w:rPr>
        <w:t>:</w:t>
      </w:r>
      <w:r>
        <w:rPr>
          <w:rFonts w:hint="eastAsia" w:ascii="仿宋" w:hAnsi="仿宋" w:eastAsia="仿宋" w:cs="仿宋"/>
          <w:bCs/>
          <w:sz w:val="30"/>
          <w:szCs w:val="30"/>
        </w:rPr>
        <w:t>质量、效益、价值创造</w:t>
      </w:r>
    </w:p>
    <w:p>
      <w:pPr>
        <w:spacing w:line="460" w:lineRule="exact"/>
        <w:ind w:firstLine="3168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（七）税务管控整体落地实施方案</w:t>
      </w:r>
    </w:p>
    <w:p>
      <w:pPr>
        <w:spacing w:line="460" w:lineRule="exact"/>
        <w:rPr>
          <w:rFonts w:ascii="仿宋_GB2312" w:hAnsi="宋体" w:eastAsia="仿宋_GB2312" w:cs="仿宋"/>
          <w:sz w:val="30"/>
          <w:szCs w:val="30"/>
        </w:rPr>
      </w:pPr>
    </w:p>
    <w:p>
      <w:pPr>
        <w:widowControl/>
        <w:spacing w:line="440" w:lineRule="exact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四、师资力量</w:t>
      </w:r>
    </w:p>
    <w:p>
      <w:pPr>
        <w:snapToGrid w:val="0"/>
        <w:spacing w:line="460" w:lineRule="exact"/>
        <w:ind w:firstLine="31680" w:firstLineChars="198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政府机关、学院、企业界等具有深厚理论功底和丰富实践经验的专家和教授组成。</w:t>
      </w:r>
    </w:p>
    <w:p>
      <w:pPr>
        <w:spacing w:line="460" w:lineRule="exact"/>
        <w:ind w:firstLine="601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440" w:lineRule="exact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五、培训费用</w:t>
      </w:r>
    </w:p>
    <w:p>
      <w:pPr>
        <w:snapToGrid w:val="0"/>
        <w:spacing w:line="460" w:lineRule="exact"/>
        <w:ind w:firstLine="31680" w:firstLineChars="19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收费标准：每期</w:t>
      </w:r>
      <w:r>
        <w:rPr>
          <w:rFonts w:ascii="仿宋" w:hAnsi="仿宋" w:eastAsia="仿宋" w:cs="仿宋"/>
          <w:sz w:val="30"/>
          <w:szCs w:val="30"/>
        </w:rPr>
        <w:t>2900</w:t>
      </w:r>
      <w:r>
        <w:rPr>
          <w:rFonts w:hint="eastAsia" w:ascii="仿宋" w:hAnsi="仿宋" w:eastAsia="仿宋" w:cs="仿宋"/>
          <w:sz w:val="30"/>
          <w:szCs w:val="30"/>
        </w:rPr>
        <w:t>元</w:t>
      </w:r>
      <w:r>
        <w:rPr>
          <w:rFonts w:ascii="仿宋" w:hAnsi="仿宋" w:eastAsia="仿宋" w:cs="仿宋"/>
          <w:sz w:val="30"/>
          <w:szCs w:val="30"/>
        </w:rPr>
        <w:t>/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ascii="仿宋" w:hAnsi="仿宋" w:eastAsia="仿宋" w:cs="仿宋"/>
          <w:sz w:val="30"/>
          <w:szCs w:val="30"/>
        </w:rPr>
        <w:t>(</w:t>
      </w:r>
      <w:r>
        <w:rPr>
          <w:rFonts w:hint="eastAsia" w:ascii="仿宋" w:hAnsi="仿宋" w:eastAsia="仿宋" w:cs="仿宋"/>
          <w:sz w:val="30"/>
          <w:szCs w:val="30"/>
        </w:rPr>
        <w:t>包括专家授课费、资料费、教学场租设备费等</w:t>
      </w:r>
      <w:r>
        <w:rPr>
          <w:rFonts w:ascii="仿宋" w:hAnsi="仿宋" w:eastAsia="仿宋" w:cs="仿宋"/>
          <w:sz w:val="30"/>
          <w:szCs w:val="30"/>
        </w:rPr>
        <w:t>)</w:t>
      </w:r>
      <w:r>
        <w:rPr>
          <w:rFonts w:hint="eastAsia" w:ascii="仿宋" w:hAnsi="仿宋" w:eastAsia="仿宋" w:cs="仿宋"/>
          <w:sz w:val="30"/>
          <w:szCs w:val="30"/>
        </w:rPr>
        <w:t>。培训期间用餐和住宿统一安排，费用自理；往返交通等费用自理。</w:t>
      </w:r>
    </w:p>
    <w:p>
      <w:pPr>
        <w:spacing w:line="460" w:lineRule="exact"/>
        <w:ind w:firstLine="601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440" w:lineRule="exact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六、培训证书</w:t>
      </w:r>
    </w:p>
    <w:p>
      <w:pPr>
        <w:snapToGrid w:val="0"/>
        <w:spacing w:line="460" w:lineRule="exact"/>
        <w:ind w:firstLine="31680" w:firstLineChars="198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培训班学习期满，完成教学计划规定的全部课程，由中国总会计师协会颁发《培训结业证书》。</w:t>
      </w:r>
    </w:p>
    <w:p>
      <w:pPr>
        <w:spacing w:line="460" w:lineRule="exact"/>
        <w:ind w:firstLine="601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440" w:lineRule="exact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七、联系方式</w:t>
      </w:r>
    </w:p>
    <w:p>
      <w:pPr>
        <w:snapToGrid w:val="0"/>
        <w:spacing w:line="460" w:lineRule="exact"/>
        <w:ind w:firstLine="31680" w:firstLineChars="198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电话</w:t>
      </w:r>
      <w:r>
        <w:rPr>
          <w:rFonts w:ascii="仿宋" w:hAnsi="仿宋" w:eastAsia="仿宋" w:cs="仿宋"/>
          <w:sz w:val="30"/>
          <w:szCs w:val="30"/>
        </w:rPr>
        <w:t>/</w:t>
      </w:r>
      <w:r>
        <w:rPr>
          <w:rFonts w:hint="eastAsia" w:ascii="仿宋" w:hAnsi="仿宋" w:eastAsia="仿宋" w:cs="仿宋"/>
          <w:sz w:val="30"/>
          <w:szCs w:val="30"/>
        </w:rPr>
        <w:t>传真：</w:t>
      </w:r>
      <w:r>
        <w:rPr>
          <w:rFonts w:ascii="仿宋" w:hAnsi="仿宋" w:eastAsia="仿宋" w:cs="仿宋"/>
          <w:sz w:val="30"/>
          <w:szCs w:val="30"/>
        </w:rPr>
        <w:t>010-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63381780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邮箱：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lunwen@cmcfo.cn</w:t>
      </w:r>
    </w:p>
    <w:p>
      <w:pPr>
        <w:snapToGrid w:val="0"/>
        <w:spacing w:line="460" w:lineRule="exact"/>
        <w:ind w:firstLine="31680" w:firstLineChars="198"/>
        <w:rPr>
          <w:rFonts w:ascii="仿宋" w:hAnsi="仿宋" w:eastAsia="仿宋" w:cs="宋体"/>
          <w:bCs/>
          <w:kern w:val="0"/>
          <w:sz w:val="30"/>
          <w:szCs w:val="30"/>
        </w:rPr>
      </w:pPr>
    </w:p>
    <w:p>
      <w:pPr>
        <w:snapToGrid w:val="0"/>
        <w:spacing w:line="460" w:lineRule="exact"/>
        <w:ind w:firstLine="31680" w:firstLineChars="198"/>
        <w:rPr>
          <w:rFonts w:ascii="仿宋" w:hAnsi="仿宋" w:eastAsia="仿宋" w:cs="宋体"/>
          <w:bCs/>
          <w:kern w:val="0"/>
          <w:sz w:val="30"/>
          <w:szCs w:val="30"/>
        </w:rPr>
      </w:pPr>
    </w:p>
    <w:p>
      <w:pPr>
        <w:snapToGrid w:val="0"/>
        <w:spacing w:line="240" w:lineRule="auto"/>
        <w:ind w:firstLine="31680" w:firstLineChars="198"/>
        <w:rPr>
          <w:rFonts w:hint="eastAsia" w:ascii="仿宋" w:hAnsi="仿宋" w:eastAsia="仿宋" w:cs="宋体"/>
          <w:bCs/>
          <w:kern w:val="0"/>
          <w:sz w:val="30"/>
          <w:szCs w:val="30"/>
          <w:lang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华文宋体籠适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??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仿宋">
    <w:altName w:val="微软雅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05199684">
    <w:nsid w:val="59B78644"/>
    <w:multiLevelType w:val="singleLevel"/>
    <w:tmpl w:val="59B78644"/>
    <w:lvl w:ilvl="0" w:tentative="1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15051996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0" w:name="Normal Indent" w:locked="1"/>
    <w:lsdException w:uiPriority="0" w:name="footnote text" w:locked="1"/>
    <w:lsdException w:uiPriority="0" w:name="annotation text" w:locked="1"/>
    <w:lsdException w:unhideWhenUsed="0" w:uiPriority="99" w:name="header"/>
    <w:lsdException w:unhideWhenUsed="0" w:uiPriority="99" w:semiHidden="0" w:name="footer"/>
    <w:lsdException w:uiPriority="0" w:name="index heading" w:locked="1"/>
    <w:lsdException w:qFormat="1" w:uiPriority="0" w:name="caption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0" w:semiHidden="0" w:name="Title"/>
    <w:lsdException w:uiPriority="0" w:name="Closing" w:locked="1"/>
    <w:lsdException w:uiPriority="0" w:name="Signature" w:locked="1"/>
    <w:lsdException w:unhideWhenUsed="0" w:uiPriority="99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0" w:semiHidden="0" w:name="Subtitle"/>
    <w:lsdException w:uiPriority="0" w:name="Salutation" w:locked="1"/>
    <w:lsdException w:unhideWhenUsed="0" w:uiPriority="99" w:semiHidden="0" w:name="Date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 w:locked="1"/>
    <w:lsdException w:qFormat="1" w:unhideWhenUsed="0" w:uiPriority="99" w:semiHidden="0" w:name="Emphasis" w:locked="1"/>
    <w:lsdException w:uiPriority="0" w:name="Document Map" w:locked="1"/>
    <w:lsdException w:unhideWhenUsed="0" w:uiPriority="99" w:semiHidden="0" w:name="Plain Text"/>
    <w:lsdException w:uiPriority="0" w:name="E-mail Signature" w:locked="1"/>
    <w:lsdException w:unhideWhenUsed="0" w:uiPriority="99" w:semiHidden="0" w:name="Normal (Web)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uiPriority="0" w:name="annotation subject" w:locked="1"/>
    <w:lsdException w:unhideWhenUsed="0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8"/>
    <w:qFormat/>
    <w:uiPriority w:val="99"/>
    <w:pPr>
      <w:widowControl/>
      <w:spacing w:before="100" w:beforeAutospacing="1" w:after="100" w:afterAutospacing="1"/>
      <w:jc w:val="left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1"/>
    <w:next w:val="1"/>
    <w:link w:val="29"/>
    <w:qFormat/>
    <w:uiPriority w:val="99"/>
    <w:pPr>
      <w:widowControl/>
      <w:spacing w:before="100" w:beforeAutospacing="1" w:after="100" w:afterAutospacing="1"/>
      <w:jc w:val="left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11">
    <w:name w:val="Default Paragraph Font"/>
    <w:semiHidden/>
    <w:uiPriority w:val="99"/>
  </w:style>
  <w:style w:type="paragraph" w:styleId="5">
    <w:name w:val="Plain Text"/>
    <w:basedOn w:val="1"/>
    <w:link w:val="45"/>
    <w:uiPriority w:val="99"/>
    <w:rPr>
      <w:rFonts w:ascii="宋体" w:hAnsi="Courier New"/>
      <w:kern w:val="0"/>
      <w:szCs w:val="20"/>
    </w:rPr>
  </w:style>
  <w:style w:type="paragraph" w:styleId="6">
    <w:name w:val="Date"/>
    <w:basedOn w:val="1"/>
    <w:next w:val="1"/>
    <w:link w:val="43"/>
    <w:uiPriority w:val="99"/>
    <w:pPr>
      <w:ind w:left="100" w:leftChars="2500"/>
    </w:pPr>
    <w:rPr>
      <w:kern w:val="0"/>
      <w:sz w:val="20"/>
      <w:szCs w:val="20"/>
    </w:rPr>
  </w:style>
  <w:style w:type="paragraph" w:styleId="7">
    <w:name w:val="Balloon Text"/>
    <w:basedOn w:val="1"/>
    <w:link w:val="44"/>
    <w:semiHidden/>
    <w:uiPriority w:val="99"/>
    <w:rPr>
      <w:kern w:val="0"/>
      <w:sz w:val="2"/>
      <w:szCs w:val="20"/>
    </w:rPr>
  </w:style>
  <w:style w:type="paragraph" w:styleId="8">
    <w:name w:val="footer"/>
    <w:basedOn w:val="1"/>
    <w:link w:val="4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9">
    <w:name w:val="header"/>
    <w:basedOn w:val="1"/>
    <w:link w:val="42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10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locked/>
    <w:uiPriority w:val="99"/>
    <w:rPr>
      <w:rFonts w:cs="Times New Roman"/>
      <w:b/>
    </w:rPr>
  </w:style>
  <w:style w:type="character" w:styleId="13">
    <w:name w:val="FollowedHyperlink"/>
    <w:basedOn w:val="11"/>
    <w:uiPriority w:val="99"/>
    <w:rPr>
      <w:rFonts w:cs="Times New Roman"/>
      <w:color w:val="5A5A5A"/>
      <w:u w:val="none"/>
    </w:rPr>
  </w:style>
  <w:style w:type="character" w:styleId="14">
    <w:name w:val="Emphasis"/>
    <w:basedOn w:val="11"/>
    <w:qFormat/>
    <w:locked/>
    <w:uiPriority w:val="99"/>
    <w:rPr>
      <w:rFonts w:cs="Times New Roman"/>
      <w:color w:val="5A5A5A"/>
      <w:sz w:val="18"/>
    </w:rPr>
  </w:style>
  <w:style w:type="character" w:styleId="15">
    <w:name w:val="Hyperlink"/>
    <w:basedOn w:val="11"/>
    <w:uiPriority w:val="99"/>
    <w:rPr>
      <w:rFonts w:cs="Times New Roman"/>
      <w:color w:val="0000FF"/>
      <w:u w:val="single"/>
    </w:rPr>
  </w:style>
  <w:style w:type="paragraph" w:customStyle="1" w:styleId="16">
    <w:name w:val="无间隔1"/>
    <w:basedOn w:val="1"/>
    <w:link w:val="38"/>
    <w:uiPriority w:val="99"/>
    <w:pPr>
      <w:widowControl/>
      <w:jc w:val="left"/>
    </w:pPr>
    <w:rPr>
      <w:rFonts w:ascii="Cambria" w:hAnsi="Cambria"/>
      <w:kern w:val="0"/>
      <w:sz w:val="22"/>
      <w:szCs w:val="20"/>
      <w:lang w:eastAsia="en-US"/>
    </w:rPr>
  </w:style>
  <w:style w:type="paragraph" w:customStyle="1" w:styleId="17">
    <w:name w:val="List Paragraph1"/>
    <w:basedOn w:val="1"/>
    <w:uiPriority w:val="99"/>
    <w:pPr>
      <w:ind w:firstLine="420" w:firstLineChars="200"/>
    </w:pPr>
  </w:style>
  <w:style w:type="paragraph" w:customStyle="1" w:styleId="18">
    <w:name w:val="p0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List Paragraph2"/>
    <w:basedOn w:val="1"/>
    <w:uiPriority w:val="99"/>
    <w:pPr>
      <w:ind w:firstLine="420" w:firstLineChars="200"/>
    </w:pPr>
    <w:rPr>
      <w:rFonts w:ascii="Cambria" w:hAnsi="Cambria"/>
      <w:sz w:val="24"/>
      <w:szCs w:val="24"/>
    </w:rPr>
  </w:style>
  <w:style w:type="paragraph" w:customStyle="1" w:styleId="20">
    <w:name w:val="Default"/>
    <w:uiPriority w:val="99"/>
    <w:pPr>
      <w:widowControl w:val="0"/>
      <w:autoSpaceDE w:val="0"/>
      <w:autoSpaceDN w:val="0"/>
      <w:adjustRightInd w:val="0"/>
    </w:pPr>
    <w:rPr>
      <w:rFonts w:ascii="华文宋体籠适." w:hAnsi="华文宋体籠适." w:eastAsia="华文宋体籠适."/>
      <w:color w:val="000000"/>
      <w:kern w:val="0"/>
      <w:sz w:val="24"/>
      <w:szCs w:val="20"/>
    </w:rPr>
  </w:style>
  <w:style w:type="paragraph" w:customStyle="1" w:styleId="21">
    <w:name w:val="z-Top of Form1"/>
    <w:basedOn w:val="1"/>
    <w:next w:val="1"/>
    <w:link w:val="46"/>
    <w:locked/>
    <w:uiPriority w:val="99"/>
    <w:pPr>
      <w:widowControl/>
      <w:pBdr>
        <w:bottom w:val="single" w:color="auto" w:sz="6" w:space="1"/>
      </w:pBdr>
      <w:jc w:val="center"/>
    </w:pPr>
    <w:rPr>
      <w:rFonts w:ascii="Arial" w:hAnsi="Arial"/>
      <w:vanish/>
      <w:kern w:val="0"/>
      <w:sz w:val="16"/>
      <w:szCs w:val="20"/>
    </w:rPr>
  </w:style>
  <w:style w:type="paragraph" w:customStyle="1" w:styleId="22">
    <w:name w:val="z-Bottom of Form1"/>
    <w:basedOn w:val="1"/>
    <w:next w:val="1"/>
    <w:link w:val="47"/>
    <w:locked/>
    <w:uiPriority w:val="99"/>
    <w:pPr>
      <w:widowControl/>
      <w:pBdr>
        <w:top w:val="single" w:color="auto" w:sz="6" w:space="1"/>
      </w:pBdr>
      <w:jc w:val="center"/>
    </w:pPr>
    <w:rPr>
      <w:rFonts w:ascii="Arial" w:hAnsi="Arial"/>
      <w:vanish/>
      <w:kern w:val="0"/>
      <w:sz w:val="16"/>
      <w:szCs w:val="20"/>
    </w:rPr>
  </w:style>
  <w:style w:type="paragraph" w:customStyle="1" w:styleId="23">
    <w:name w:val="p3 mt20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mt p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adding2em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abstract"/>
    <w:basedOn w:val="1"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7">
    <w:name w:val="Heading 1 Char"/>
    <w:basedOn w:val="11"/>
    <w:link w:val="2"/>
    <w:locked/>
    <w:uiPriority w:val="99"/>
    <w:rPr>
      <w:rFonts w:cs="Times New Roman"/>
      <w:b/>
      <w:kern w:val="44"/>
      <w:sz w:val="44"/>
    </w:rPr>
  </w:style>
  <w:style w:type="character" w:customStyle="1" w:styleId="28">
    <w:name w:val="Heading 3 Char"/>
    <w:basedOn w:val="11"/>
    <w:link w:val="3"/>
    <w:semiHidden/>
    <w:locked/>
    <w:uiPriority w:val="99"/>
    <w:rPr>
      <w:rFonts w:cs="Times New Roman"/>
      <w:b/>
      <w:sz w:val="32"/>
    </w:rPr>
  </w:style>
  <w:style w:type="character" w:customStyle="1" w:styleId="29">
    <w:name w:val="Heading 4 Char"/>
    <w:basedOn w:val="11"/>
    <w:link w:val="4"/>
    <w:semiHidden/>
    <w:locked/>
    <w:uiPriority w:val="99"/>
    <w:rPr>
      <w:rFonts w:ascii="Cambria" w:hAnsi="Cambria" w:eastAsia="宋体" w:cs="Times New Roman"/>
      <w:b/>
      <w:sz w:val="28"/>
    </w:rPr>
  </w:style>
  <w:style w:type="character" w:customStyle="1" w:styleId="30">
    <w:name w:val="Plain Text Char"/>
    <w:basedOn w:val="11"/>
    <w:link w:val="5"/>
    <w:locked/>
    <w:uiPriority w:val="99"/>
    <w:rPr>
      <w:rFonts w:ascii="宋体" w:hAnsi="Courier New" w:cs="Times New Roman"/>
      <w:sz w:val="20"/>
    </w:rPr>
  </w:style>
  <w:style w:type="character" w:customStyle="1" w:styleId="31">
    <w:name w:val="Date Char"/>
    <w:basedOn w:val="11"/>
    <w:link w:val="6"/>
    <w:semiHidden/>
    <w:locked/>
    <w:uiPriority w:val="99"/>
    <w:rPr>
      <w:rFonts w:cs="Times New Roman"/>
    </w:rPr>
  </w:style>
  <w:style w:type="character" w:customStyle="1" w:styleId="32">
    <w:name w:val="Balloon Text Char"/>
    <w:basedOn w:val="11"/>
    <w:link w:val="7"/>
    <w:semiHidden/>
    <w:locked/>
    <w:uiPriority w:val="99"/>
    <w:rPr>
      <w:rFonts w:cs="Times New Roman"/>
      <w:sz w:val="18"/>
    </w:rPr>
  </w:style>
  <w:style w:type="character" w:customStyle="1" w:styleId="33">
    <w:name w:val="Footer Char"/>
    <w:basedOn w:val="11"/>
    <w:link w:val="8"/>
    <w:locked/>
    <w:uiPriority w:val="99"/>
    <w:rPr>
      <w:rFonts w:cs="Times New Roman"/>
      <w:sz w:val="18"/>
    </w:rPr>
  </w:style>
  <w:style w:type="character" w:customStyle="1" w:styleId="34">
    <w:name w:val="Header Char"/>
    <w:basedOn w:val="11"/>
    <w:link w:val="9"/>
    <w:semiHidden/>
    <w:locked/>
    <w:uiPriority w:val="99"/>
    <w:rPr>
      <w:rFonts w:cs="Times New Roman"/>
      <w:sz w:val="18"/>
    </w:rPr>
  </w:style>
  <w:style w:type="character" w:customStyle="1" w:styleId="35">
    <w:name w:val="jian"/>
    <w:uiPriority w:val="99"/>
  </w:style>
  <w:style w:type="character" w:customStyle="1" w:styleId="36">
    <w:name w:val="onmenu02"/>
    <w:uiPriority w:val="99"/>
    <w:rPr>
      <w:color w:val="D7D7D7"/>
    </w:rPr>
  </w:style>
  <w:style w:type="character" w:customStyle="1" w:styleId="37">
    <w:name w:val="apple-converted-space"/>
    <w:uiPriority w:val="99"/>
  </w:style>
  <w:style w:type="character" w:customStyle="1" w:styleId="38">
    <w:name w:val="无间隔 Char"/>
    <w:link w:val="16"/>
    <w:locked/>
    <w:uiPriority w:val="99"/>
    <w:rPr>
      <w:rFonts w:ascii="Cambria" w:hAnsi="Cambria" w:eastAsia="宋体"/>
      <w:sz w:val="22"/>
      <w:lang w:val="en-US" w:eastAsia="en-US"/>
    </w:rPr>
  </w:style>
  <w:style w:type="character" w:customStyle="1" w:styleId="39">
    <w:name w:val="fr"/>
    <w:uiPriority w:val="99"/>
  </w:style>
  <w:style w:type="character" w:customStyle="1" w:styleId="40">
    <w:name w:val="line2"/>
    <w:uiPriority w:val="99"/>
  </w:style>
  <w:style w:type="character" w:customStyle="1" w:styleId="41">
    <w:name w:val="Footer Char1"/>
    <w:link w:val="8"/>
    <w:semiHidden/>
    <w:locked/>
    <w:uiPriority w:val="99"/>
    <w:rPr>
      <w:sz w:val="18"/>
    </w:rPr>
  </w:style>
  <w:style w:type="character" w:customStyle="1" w:styleId="42">
    <w:name w:val="Header Char1"/>
    <w:link w:val="9"/>
    <w:semiHidden/>
    <w:locked/>
    <w:uiPriority w:val="99"/>
    <w:rPr>
      <w:sz w:val="18"/>
    </w:rPr>
  </w:style>
  <w:style w:type="character" w:customStyle="1" w:styleId="43">
    <w:name w:val="Date Char1"/>
    <w:link w:val="6"/>
    <w:semiHidden/>
    <w:locked/>
    <w:uiPriority w:val="99"/>
  </w:style>
  <w:style w:type="character" w:customStyle="1" w:styleId="44">
    <w:name w:val="Balloon Text Char1"/>
    <w:link w:val="7"/>
    <w:semiHidden/>
    <w:locked/>
    <w:uiPriority w:val="99"/>
    <w:rPr>
      <w:sz w:val="2"/>
    </w:rPr>
  </w:style>
  <w:style w:type="character" w:customStyle="1" w:styleId="45">
    <w:name w:val="Plain Text Char1"/>
    <w:link w:val="5"/>
    <w:semiHidden/>
    <w:locked/>
    <w:uiPriority w:val="99"/>
    <w:rPr>
      <w:rFonts w:ascii="宋体" w:hAnsi="Courier New"/>
      <w:sz w:val="21"/>
    </w:rPr>
  </w:style>
  <w:style w:type="character" w:customStyle="1" w:styleId="46">
    <w:name w:val="z-Top of Form Char"/>
    <w:link w:val="21"/>
    <w:semiHidden/>
    <w:locked/>
    <w:uiPriority w:val="99"/>
    <w:rPr>
      <w:rFonts w:ascii="Arial" w:hAnsi="Arial"/>
      <w:vanish/>
      <w:sz w:val="16"/>
    </w:rPr>
  </w:style>
  <w:style w:type="character" w:customStyle="1" w:styleId="47">
    <w:name w:val="z-Bottom of Form Char"/>
    <w:link w:val="22"/>
    <w:semiHidden/>
    <w:locked/>
    <w:uiPriority w:val="99"/>
    <w:rPr>
      <w:rFonts w:ascii="Arial" w:hAns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4</Pages>
  <Words>212</Words>
  <Characters>1276</Characters>
  <Lines>0</Lines>
  <Paragraphs>0</Paragraphs>
  <ScaleCrop>false</ScaleCrop>
  <LinksUpToDate>false</LinksUpToDate>
  <CharactersWithSpaces>0</CharactersWithSpaces>
  <Application>WPS Office 个人版_9.1.0.4429_{F1E327BC-269C-435d-A152-05C5408002CA}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2016-02-01T02:15:00Z</dcterms:created>
  <dc:creator>User</dc:creator>
  <cp:lastModifiedBy>Administrator</cp:lastModifiedBy>
  <cp:lastPrinted>2017-09-18T03:36:00Z</cp:lastPrinted>
  <dcterms:modified xsi:type="dcterms:W3CDTF">2017-09-27T08:56:43Z</dcterms:modified>
  <dc:title>中总协〔2014〕22 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